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AE65" w14:textId="5D3BE5BC" w:rsidR="00AB29C3" w:rsidRDefault="00AB29C3">
      <w:r w:rsidRPr="00AB29C3">
        <w:t xml:space="preserve">Bioquímica UAJFK. Directora de "Curso PRP para </w:t>
      </w:r>
      <w:proofErr w:type="spellStart"/>
      <w:r w:rsidRPr="00AB29C3">
        <w:t>bioquimicos</w:t>
      </w:r>
      <w:proofErr w:type="spellEnd"/>
      <w:r w:rsidRPr="00AB29C3">
        <w:t>". Directora técnica Laboratorio de análisis clínicos Banfield</w:t>
      </w:r>
    </w:p>
    <w:sectPr w:rsidR="00AB2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C3"/>
    <w:rsid w:val="00A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762"/>
  <w15:chartTrackingRefBased/>
  <w15:docId w15:val="{DD40AB53-308F-41EF-A83D-5C2BC7F4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2023-09-26T14:36:00Z</dcterms:created>
  <dcterms:modified xsi:type="dcterms:W3CDTF">2023-09-26T14:36:00Z</dcterms:modified>
</cp:coreProperties>
</file>